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DRAFT IDEAS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FlaxCo 2027 Outcomes + Impact Framework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FlaxCo should measure more than participation or program activity. The central question is whether sustained engagement is producing meaningful change in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belonging, formation, creative development, relationships, opportunity, and vocational direction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area should therefore distinguish between what FlaxCo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delivers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what participants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or accomplish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and the longer-term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impact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work is intended to produce.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1. ENGAGEMENT + BELONGING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Metric: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young creatives in sustained FlaxCo engagement + retention 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Supporting measures may include: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27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young creatives participating in sustained genre-specific cohorts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55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participating in Odeon performances or production/support roles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participating in seminars, workshops, or introductory experiences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81%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retained through the defined formation period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critical distinction is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sustained engagement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FlaxCo is not designed around disconnected events or attendance counts. The participant pathway moves from initial encounter toward belonging, recurring relationships, creative and personal development, meaningful work, and continued connection.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this tells us: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Young creatives are not simply attending. They are finding enough belonging, value, and continuity to remain engaged.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the donor hears: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 creatives don’t just come through the door. They stay long enough for something meaningful to happen.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2. MENTORING + RELATIONAL INVESTMENT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Metric: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Percentage of sustained participants connected to a recurring mentor relationship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Supporting measures: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Total professional mentoring hours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Percentage of sustained participants receiving recurring rather than episodic mentoring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Frequency and duration of mentor relationships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 assessment of mentor accessibility, trust, and usefulness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1,250 mentoring hours | 92% of sustained participants connected to a recurring mentor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percentage matters more than the raw number of hours. FlaxCo’s distinction is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sustained relational investment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rather than isolated expert encounters. Artists in Residence, itinerant mentors, and guest professionals provide different layers of guidance according to participant need.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this tells us: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Participants are becoming known by credible adults who can support both creative development and personal formation.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the donor hears: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 creatives are being known, guided, challenged, and invested in by adults who understand both their craft and their 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3. MAKING + CREATIVE PROGRESSION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Metric: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Percentage of sustained participants completing meaningful creative work and reaching an appropriate next step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Supporting measures: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Percentage completing a substantial original work, project, or portfolio milestone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offerings: performances, screenings, exhibitions, readings, releases, installations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Paid projects, internships, commissions, collaborations, employment, education, or other documented next steps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74% completed a substantial creative milestone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31 public offerings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 moved into a documented professional, educational, or vocational next step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FlaxCo does not define success as getting every participant onto a stage. Participants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make, test, revise, collaborate, complete, and appropriately offer work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Public exposure and professional opportunity follow readiness rather than institutional pressure.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this tells us: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Formation is translating into actual creative capacity, completed work, and forward movement.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the donor hears: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 creatives move from potential → formation → meaningful work → appropriate opportunity.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4. FORMATION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Metric: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Percentage of sustained participants demonstrating meaningful growth in identity, vocation, creative purpose, relationships, and healthy creative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Supporting measures: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Completion rate for FlaxCo’s core formation experiences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formation seminars, teachings, discussions, and learning experiences delivered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Participation across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 creatives, mentors, Artists in Residence, leadership, and the wider community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Pre/post or periodic participant reflection on identity, vocation, belonging, resilience, creative purpose, and application of a biblical worldview of creativity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Qualitative evidence of changed thinking or practice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Formation should not be measured primarily by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hours of teaching delivered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That is an output. The desired outcome is whether participants are integrating what they encounter into the way they understand themselves, their creative work, relationships, vocation, and responsibility.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simple annual participant assessment could measure movement in questions such as: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have a clearer understanding of who I am apart from my creative success.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can articulate a meaningful sense of creative vocation and purpose.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have healthier ways of navigating failure, comparison, criticism, and ambition.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understand creativity within a larger biblical view of human dignity, work, culture, and stewardship.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this tells us: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FlaxCo is developing more than artistic competence.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the donor hears: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FlaxCo is helping form grounded human beings whose creativity grows from identity, purpose, relationship, and mature vocation.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5. ARTISTS IN RESIDENCE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Artists in Residence should be measured separately because they are not simply teachers or mentors. They are intended to provide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sustained creative presence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working artists embedded closely enough in the FlaxCo community to model practice, develop relationships, offer critique, teach, collaborate, and make the life of a working creative visible.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Metric: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Depth and continuity of Artist in Residence engagement with the FlaxCo community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Supporting measures: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Artists in Residence completing a defined residency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Residency duration and recurring presence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Percentage of sustained participants with meaningful recurring AIR interaction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AIR mentoring, critique, studio, teaching, rehearsal, or collaborative hours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Projects, workshops, performances, exhibitions, or other work generated through the residency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 assessment of AIR contribution to creative growth, confidence, vocational understanding, and sense of possibility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AIR assessment of FlaxCo’s value to their own creative practice, formation, relationships, or vocation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illustrative dashboard might read: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Artists in Residence | 480 embedded community hours | 76% of sustained participants engaged repeatedly with an AIR | 84% reporting meaningful benefit to their creative or vocational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important measure is not simply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many artists came through the building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It is whether the residency created enough proximity for meaningful exchange.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this tells us: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Emerging creatives have sustained access to working artists whose lives, practices, failures, disciplines, and experience become part of the formative environment.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the donor hears: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 creatives are not learning about the creative life from a distance. They are growing alongside people who are actually living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rPr/>
      </w:pPr>
      <w:r w:rsidDel="00000000" w:rsidR="00000000" w:rsidRPr="00000000">
        <w:rPr>
          <w:rtl w:val="0"/>
        </w:rPr>
        <w:t xml:space="preserve">FROM OUTCOMES TO IMPACT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Annual measures should answer: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Did people participate?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Did they remain engaged?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Did meaningful relationships form?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Did creative and personal development occur?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Was meaningful work completed?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Did participants move forward?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Longer-term impact should ask a different question: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remains true because FlaxCo was part of this person’s life?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 time, FlaxCo should begin tracking alumni indicators such as: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continued engagement in meaningful creative practice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continued connection to mentors or creative community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education, employment, enterprise, commissions, or other vocational development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leadership or mentorship of others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healthier integration of identity, faith, creativity, relationships, and vocation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contribution of creative gifts to church, community, and culture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These should initially be treated as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longitudinal indicators rather than claims of causation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objective is to determine whether the changes visible during FlaxCo participation endure beyond the immediate program experience.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rPr/>
      </w:pPr>
      <w:r w:rsidDel="00000000" w:rsidR="00000000" w:rsidRPr="00000000">
        <w:rPr>
          <w:rtl w:val="0"/>
        </w:rPr>
        <w:t xml:space="preserve">THE PUBLIC IMPACT DASHBOARD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BELONG → GROW → CREATE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framework is useful, but it should not become an additional internal metric system.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should be 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public-facing summary of the deeper measurement framework above.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rPr/>
      </w:pPr>
      <w:r w:rsidDel="00000000" w:rsidR="00000000" w:rsidRPr="00000000">
        <w:rPr>
          <w:rtl w:val="0"/>
        </w:rPr>
        <w:t xml:space="preserve">BELONG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**___ sustained young creatives | ___% retained**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Participants find community, consistency, and meaningful relationships.</w:t>
      </w:r>
    </w:p>
    <w:p w:rsidR="00000000" w:rsidDel="00000000" w:rsidP="00000000" w:rsidRDefault="00000000" w:rsidRPr="00000000" w14:paraId="0000005D">
      <w:pPr>
        <w:pStyle w:val="Heading3"/>
        <w:rPr/>
      </w:pPr>
      <w:r w:rsidDel="00000000" w:rsidR="00000000" w:rsidRPr="00000000">
        <w:rPr>
          <w:rtl w:val="0"/>
        </w:rPr>
        <w:t xml:space="preserve">GROW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with a recurring mentor |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demonstrating meaningful formation growth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Participants become more grounded personally, relationally, vocationally, and creatively.</w:t>
      </w:r>
    </w:p>
    <w:p w:rsidR="00000000" w:rsidDel="00000000" w:rsidP="00000000" w:rsidRDefault="00000000" w:rsidRPr="00000000" w14:paraId="00000060">
      <w:pPr>
        <w:pStyle w:val="Heading3"/>
        <w:rPr/>
      </w:pPr>
      <w:r w:rsidDel="00000000" w:rsidR="00000000" w:rsidRPr="00000000">
        <w:rPr>
          <w:rtl w:val="0"/>
        </w:rPr>
        <w:t xml:space="preserve">CREATE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completing meaningful work |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public offerings | ___ documented next steps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Participants translate growth into creative work, contribution, and appropriate opportunity.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Artists in Residence should run horizontally through all three rather than becoming a fourth dashboard category.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AIR helps participants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belong, grow, and create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through sustained proximity to credible working artists.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Where The Odeon Fits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FlaxCo forms young creatives through belonging, relationship, formation, and meaningful creative work. The Odeon gives that formation a home—a place to gather consistently, create seriously, learn alongside working professionals, contribute to real productions, and offer mature work to the public when the time is right.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Odeon should certainly have separate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operating metrics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—attendance, utilization, earned revenue, sponsorship, event economics, audience development, and similar measures—but those are measures of the platform’s health, not substitutes for FlaxCo’s human outcomes.</w:t>
      </w:r>
    </w:p>
    <w:p w:rsidR="00000000" w:rsidDel="00000000" w:rsidP="00000000" w:rsidRDefault="00000000" w:rsidRPr="00000000" w14:paraId="00000068">
      <w:pPr>
        <w:pStyle w:val="Heading2"/>
        <w:rPr/>
      </w:pPr>
      <w:r w:rsidDel="00000000" w:rsidR="00000000" w:rsidRPr="00000000">
        <w:rPr>
          <w:rtl w:val="0"/>
        </w:rPr>
        <w:t xml:space="preserve">The Ultimate Measure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central impact question for FlaxCo remains: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young creatives becoming more known, grounded, formed, connected, capable, and purposeful—and are they translating that growth into meaningful creative work, relationships, vocation, and contribution?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Everything else should help us answer that question.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paragraph" w:styleId="BodyText">
    <w:name w:val="Body Text"/>
    <w:basedOn w:val="Normal"/>
    <w:link w:val="BodyTextChar"/>
    <w:qFormat w:val="1"/>
    <w:pPr>
      <w:spacing w:after="180" w:before="180"/>
    </w:pPr>
  </w:style>
  <w:style w:type="paragraph" w:styleId="FirstParagraph" w:customStyle="1">
    <w:name w:val="First Paragraph"/>
    <w:basedOn w:val="BodyText"/>
    <w:next w:val="BodyText"/>
    <w:qFormat w:val="1"/>
  </w:style>
  <w:style w:type="paragraph" w:styleId="Compact" w:customStyle="1">
    <w:name w:val="Compact"/>
    <w:basedOn w:val="BodyText"/>
    <w:qFormat w:val="1"/>
    <w:pPr>
      <w:spacing w:after="36" w:before="36"/>
    </w:p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 w:val="1"/>
    <w:pPr>
      <w:keepNext w:val="1"/>
      <w:keepLines w:val="1"/>
    </w:pPr>
    <w:rPr>
      <w:sz w:val="24"/>
      <w:szCs w:val="24"/>
    </w:rPr>
  </w:style>
  <w:style w:type="paragraph" w:styleId="Date">
    <w:name w:val="Date"/>
    <w:basedOn w:val="Title"/>
    <w:next w:val="BodyText"/>
    <w:qFormat w:val="1"/>
    <w:pPr>
      <w:keepNext w:val="1"/>
      <w:keepLines w:val="1"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 w:val="1"/>
    <w:pPr/>
    <w:rPr/>
  </w:style>
  <w:style w:type="paragraph" w:styleId="Heading7">
    <w:name w:val="heading 7"/>
    <w:basedOn w:val="Normal"/>
    <w:next w:val="BodyText"/>
    <w:link w:val="Heading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BodyText"/>
    <w:link w:val="Heading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BodyText"/>
    <w:link w:val="Heading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10FD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10FD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10FD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10FD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 w:val="1"/>
    <w:qFormat w:val="1"/>
  </w:style>
  <w:style w:type="paragraph" w:styleId="FootnoteBlockText">
    <w:name w:val="Footnote Block Text"/>
    <w:basedOn w:val="FootnoteText"/>
    <w:next w:val="FootnoteText"/>
    <w:uiPriority w:val="9"/>
    <w:unhideWhenUsed w:val="1"/>
    <w:qFormat w:val="1"/>
    <w:pPr>
      <w:spacing w:after="100" w:before="100"/>
      <w:ind w:left="480" w:right="480" w:firstLine="0"/>
    </w:pPr>
  </w:style>
  <w:style w:type="character" w:styleId="DefaultParagraphFont" w:default="1">
    <w:name w:val="Default Paragraph Font"/>
    <w:semiHidden w:val="1"/>
    <w:unhideWhenUsed w:val="1"/>
  </w:style>
  <w:style w:type="table" w:styleId="Table" w:default="1">
    <w:name w:val="Table"/>
    <w:basedOn w:val="TableNormal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after="120" w:before="0"/>
    </w:pPr>
    <w:rPr>
      <w:i w:val="1"/>
    </w:rPr>
  </w:style>
  <w:style w:type="paragraph" w:styleId="TableCaption" w:customStyle="1">
    <w:name w:val="Table Caption"/>
    <w:basedOn w:val="Caption"/>
    <w:pPr>
      <w:keepNext w:val="1"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b w:val="1"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 w:val="1"/>
      <w:color w:val="008000"/>
    </w:rPr>
  </w:style>
  <w:style w:type="character" w:styleId="CommentTok" w:customStyle="1">
    <w:name w:val="CommentTok"/>
    <w:basedOn w:val="VerbatimChar"/>
    <w:rPr>
      <w:i w:val="1"/>
      <w:color w:val="60a0b0"/>
    </w:rPr>
  </w:style>
  <w:style w:type="character" w:styleId="DocumentationTok" w:customStyle="1">
    <w:name w:val="DocumentationTok"/>
    <w:basedOn w:val="VerbatimChar"/>
    <w:rPr>
      <w:i w:val="1"/>
      <w:color w:val="ba2121"/>
    </w:rPr>
  </w:style>
  <w:style w:type="character" w:styleId="AnnotationTok" w:customStyle="1">
    <w:name w:val="AnnotationTok"/>
    <w:basedOn w:val="VerbatimChar"/>
    <w:rPr>
      <w:b w:val="1"/>
      <w:i w:val="1"/>
      <w:color w:val="60a0b0"/>
    </w:rPr>
  </w:style>
  <w:style w:type="character" w:styleId="CommentVarTok" w:customStyle="1">
    <w:name w:val="CommentVarTok"/>
    <w:basedOn w:val="VerbatimChar"/>
    <w:rPr>
      <w:b w:val="1"/>
      <w:i w:val="1"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 w:val="1"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 w:val="1"/>
      <w:i w:val="1"/>
      <w:color w:val="60a0b0"/>
    </w:rPr>
  </w:style>
  <w:style w:type="character" w:styleId="WarningTok" w:customStyle="1">
    <w:name w:val="WarningTok"/>
    <w:basedOn w:val="VerbatimChar"/>
    <w:rPr>
      <w:b w:val="1"/>
      <w:i w:val="1"/>
      <w:color w:val="60a0b0"/>
    </w:rPr>
  </w:style>
  <w:style w:type="character" w:styleId="AlertTok" w:customStyle="1">
    <w:name w:val="AlertTok"/>
    <w:basedOn w:val="VerbatimChar"/>
    <w:rPr>
      <w:b w:val="1"/>
      <w:color w:val="ff0000"/>
    </w:rPr>
  </w:style>
  <w:style w:type="character" w:styleId="ErrorTok" w:customStyle="1">
    <w:name w:val="ErrorTok"/>
    <w:basedOn w:val="VerbatimChar"/>
    <w:rPr>
      <w:b w:val="1"/>
      <w:color w:val="ff0000"/>
    </w:rPr>
  </w:style>
  <w:style w:type="character" w:styleId="NormalTok" w:customStyle="1">
    <w:name w:val="NormalTok"/>
    <w:basedOn w:val="VerbatimChar"/>
    <w:rPr/>
  </w:style>
  <w:style w:type="paragraph" w:styleId="Subtitle">
    <w:name w:val="Sub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44HqgidEWVVC8UeJW4DA8Qm1nA==">CgMxLjA4AHIhMUlaOUlrU2plNmluYnRMbnoxZmlDcjlkQ0pjSmZhUWJG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